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27231">
        <w:rPr>
          <w:rFonts w:ascii="Times New Roman" w:hAnsi="Times New Roman" w:cs="Times New Roman"/>
          <w:b/>
          <w:sz w:val="24"/>
          <w:szCs w:val="24"/>
        </w:rPr>
        <w:t>214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27231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127231">
              <w:rPr>
                <w:b/>
                <w:bCs/>
              </w:rPr>
              <w:t xml:space="preserve">раствора для глушения скважин </w:t>
            </w:r>
            <w:r w:rsidR="00127231" w:rsidRPr="00127231">
              <w:rPr>
                <w:b/>
                <w:bCs/>
              </w:rPr>
              <w:t>РГС-100</w:t>
            </w:r>
            <w:r w:rsidR="00127231">
              <w:rPr>
                <w:b/>
                <w:bCs/>
              </w:rPr>
              <w:t xml:space="preserve"> (или аналог)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1272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раствора для глушения скважин РГС-100 (или аналог)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27231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2 638  620,00 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C7DC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C7DC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272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27231">
              <w:rPr>
                <w:sz w:val="22"/>
                <w:szCs w:val="22"/>
              </w:rPr>
              <w:t>05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C7DC4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5C7DC4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2015-04-09T05:54:00Z</dcterms:created>
  <dcterms:modified xsi:type="dcterms:W3CDTF">2015-05-15T05:19:00Z</dcterms:modified>
</cp:coreProperties>
</file>